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44B" w:rsidRPr="001C244B" w:rsidRDefault="001C244B" w:rsidP="007C3B06">
      <w:pPr>
        <w:pStyle w:val="Cuiristeachainmnascoile"/>
        <w:rPr>
          <w:rFonts w:ascii="Times New Roman" w:hAnsi="Times New Roman" w:cs="Times New Roman"/>
          <w:b/>
          <w:i w:val="0"/>
          <w:color w:val="000000" w:themeColor="text1"/>
          <w:sz w:val="28"/>
          <w:szCs w:val="28"/>
        </w:rPr>
      </w:pPr>
      <w:proofErr w:type="spellStart"/>
      <w:r w:rsidRPr="001C244B">
        <w:rPr>
          <w:rFonts w:ascii="Times New Roman" w:hAnsi="Times New Roman" w:cs="Times New Roman"/>
          <w:b/>
          <w:i w:val="0"/>
          <w:color w:val="000000" w:themeColor="text1"/>
          <w:sz w:val="28"/>
          <w:szCs w:val="28"/>
        </w:rPr>
        <w:t>Scoil</w:t>
      </w:r>
      <w:proofErr w:type="spellEnd"/>
      <w:r w:rsidRPr="001C244B">
        <w:rPr>
          <w:rFonts w:ascii="Times New Roman" w:hAnsi="Times New Roman" w:cs="Times New Roman"/>
          <w:b/>
          <w:i w:val="0"/>
          <w:color w:val="000000" w:themeColor="text1"/>
          <w:sz w:val="28"/>
          <w:szCs w:val="28"/>
        </w:rPr>
        <w:t xml:space="preserve"> </w:t>
      </w:r>
      <w:proofErr w:type="spellStart"/>
      <w:r w:rsidRPr="001C244B">
        <w:rPr>
          <w:rFonts w:ascii="Times New Roman" w:hAnsi="Times New Roman" w:cs="Times New Roman"/>
          <w:b/>
          <w:i w:val="0"/>
          <w:color w:val="000000" w:themeColor="text1"/>
          <w:sz w:val="28"/>
          <w:szCs w:val="28"/>
        </w:rPr>
        <w:t>na</w:t>
      </w:r>
      <w:proofErr w:type="spellEnd"/>
      <w:r w:rsidRPr="001C244B">
        <w:rPr>
          <w:rFonts w:ascii="Times New Roman" w:hAnsi="Times New Roman" w:cs="Times New Roman"/>
          <w:b/>
          <w:i w:val="0"/>
          <w:color w:val="000000" w:themeColor="text1"/>
          <w:sz w:val="28"/>
          <w:szCs w:val="28"/>
        </w:rPr>
        <w:t xml:space="preserve"> </w:t>
      </w:r>
      <w:proofErr w:type="spellStart"/>
      <w:r w:rsidRPr="001C244B">
        <w:rPr>
          <w:rFonts w:ascii="Times New Roman" w:hAnsi="Times New Roman" w:cs="Times New Roman"/>
          <w:b/>
          <w:i w:val="0"/>
          <w:color w:val="000000" w:themeColor="text1"/>
          <w:sz w:val="28"/>
          <w:szCs w:val="28"/>
        </w:rPr>
        <w:t>Croise</w:t>
      </w:r>
      <w:proofErr w:type="spellEnd"/>
      <w:r w:rsidRPr="001C244B">
        <w:rPr>
          <w:rFonts w:ascii="Times New Roman" w:hAnsi="Times New Roman" w:cs="Times New Roman"/>
          <w:b/>
          <w:i w:val="0"/>
          <w:color w:val="000000" w:themeColor="text1"/>
          <w:sz w:val="28"/>
          <w:szCs w:val="28"/>
        </w:rPr>
        <w:t xml:space="preserve"> </w:t>
      </w:r>
      <w:proofErr w:type="spellStart"/>
      <w:r w:rsidRPr="001C244B">
        <w:rPr>
          <w:rFonts w:ascii="Times New Roman" w:hAnsi="Times New Roman" w:cs="Times New Roman"/>
          <w:b/>
          <w:i w:val="0"/>
          <w:color w:val="000000" w:themeColor="text1"/>
          <w:sz w:val="28"/>
          <w:szCs w:val="28"/>
        </w:rPr>
        <w:t>Naofa</w:t>
      </w:r>
      <w:proofErr w:type="spellEnd"/>
    </w:p>
    <w:p w:rsidR="000C5181" w:rsidRPr="001C244B" w:rsidRDefault="001C244B" w:rsidP="007C3B06">
      <w:pPr>
        <w:pStyle w:val="Cuiristeachainmnascoile"/>
        <w:rPr>
          <w:rFonts w:ascii="Times New Roman" w:hAnsi="Times New Roman" w:cs="Times New Roman"/>
          <w:b/>
          <w:i w:val="0"/>
          <w:color w:val="000000" w:themeColor="text1"/>
          <w:sz w:val="28"/>
          <w:szCs w:val="28"/>
        </w:rPr>
      </w:pPr>
      <w:r w:rsidRPr="001C244B">
        <w:rPr>
          <w:rFonts w:ascii="Times New Roman" w:hAnsi="Times New Roman" w:cs="Times New Roman"/>
          <w:b/>
          <w:i w:val="0"/>
          <w:color w:val="000000" w:themeColor="text1"/>
          <w:sz w:val="28"/>
          <w:szCs w:val="28"/>
        </w:rPr>
        <w:t>Geashill N.S.</w:t>
      </w:r>
      <w:r w:rsidR="00705C06" w:rsidRPr="001C244B">
        <w:rPr>
          <w:rFonts w:ascii="Times New Roman" w:hAnsi="Times New Roman" w:cs="Times New Roman"/>
          <w:b/>
          <w:i w:val="0"/>
          <w:color w:val="000000" w:themeColor="text1"/>
          <w:sz w:val="28"/>
          <w:szCs w:val="28"/>
        </w:rPr>
        <w:t xml:space="preserve">                                                                                                                      </w:t>
      </w:r>
    </w:p>
    <w:p w:rsidR="0062144C" w:rsidRPr="001C244B" w:rsidRDefault="001A35AE" w:rsidP="00705C06">
      <w:pPr>
        <w:pStyle w:val="Heading1"/>
        <w:jc w:val="both"/>
        <w:rPr>
          <w:color w:val="auto"/>
          <w:sz w:val="48"/>
          <w:szCs w:val="48"/>
        </w:rPr>
      </w:pPr>
      <w:r w:rsidRPr="001C244B">
        <w:rPr>
          <w:color w:val="auto"/>
          <w:sz w:val="48"/>
          <w:szCs w:val="48"/>
        </w:rPr>
        <w:t>consent</w:t>
      </w:r>
    </w:p>
    <w:p w:rsidR="00AF650B" w:rsidRPr="00AF650B" w:rsidRDefault="00AF650B" w:rsidP="00AF650B">
      <w:pPr>
        <w:rPr>
          <w:sz w:val="48"/>
          <w:szCs w:val="48"/>
        </w:rPr>
      </w:pPr>
    </w:p>
    <w:p w:rsidR="00922C9B" w:rsidRDefault="00922C9B" w:rsidP="00922C9B">
      <w:pPr>
        <w:rPr>
          <w:rFonts w:eastAsia="Calibri"/>
          <w:lang w:val="en-US"/>
        </w:rPr>
      </w:pPr>
      <w:r w:rsidRPr="00ED3209">
        <w:rPr>
          <w:rFonts w:eastAsia="Times New Roman"/>
          <w:szCs w:val="20"/>
        </w:rPr>
        <w:t>Where</w:t>
      </w:r>
      <w:r w:rsidRPr="00ED3209">
        <w:rPr>
          <w:rFonts w:eastAsia="Calibri"/>
          <w:lang w:val="en-US"/>
        </w:rPr>
        <w:t xml:space="preserve"> </w:t>
      </w:r>
      <w:r w:rsidRPr="00045E9C">
        <w:rPr>
          <w:rFonts w:eastAsia="Calibri"/>
          <w:lang w:val="en-US"/>
        </w:rPr>
        <w:t>consent is the basis for provision of personal data (e.g. data required to join sports team/ after-school activity/or optional school activity) the consent must be a freely-given, specific, informed and unambiguous indication of the data subject’s wishes. Each school will require a clear, affirmative action e.g. ticking of a box/signing a document, to indicate consent. Consent can be withdrawn by data subjects in these situations</w:t>
      </w:r>
    </w:p>
    <w:p w:rsidR="00922C9B" w:rsidRPr="00ED3209" w:rsidRDefault="00922C9B" w:rsidP="00922C9B">
      <w:pPr>
        <w:rPr>
          <w:rFonts w:eastAsia="Calibri"/>
          <w:lang w:val="en-US"/>
        </w:rPr>
      </w:pPr>
    </w:p>
    <w:p w:rsidR="00922C9B" w:rsidRPr="00624191" w:rsidRDefault="00922C9B" w:rsidP="00922C9B">
      <w:pPr>
        <w:rPr>
          <w:rFonts w:eastAsia="Times New Roman"/>
          <w:szCs w:val="20"/>
        </w:rPr>
      </w:pPr>
      <w:r w:rsidRPr="00624191">
        <w:rPr>
          <w:rFonts w:eastAsia="Times New Roman"/>
          <w:szCs w:val="20"/>
        </w:rPr>
        <w:t>To ensure that the school’s practices are open and transparent and to obtain data fairly the </w:t>
      </w:r>
      <w:r w:rsidRPr="00624191">
        <w:rPr>
          <w:rFonts w:eastAsia="Times New Roman"/>
          <w:bCs/>
          <w:szCs w:val="20"/>
        </w:rPr>
        <w:t>data subject</w:t>
      </w:r>
      <w:r w:rsidRPr="00624191">
        <w:rPr>
          <w:bCs/>
          <w:szCs w:val="20"/>
        </w:rPr>
        <w:t xml:space="preserve"> </w:t>
      </w:r>
      <w:r w:rsidRPr="00624191">
        <w:rPr>
          <w:rFonts w:eastAsia="Times New Roman"/>
          <w:szCs w:val="20"/>
        </w:rPr>
        <w:t>must, </w:t>
      </w:r>
      <w:r w:rsidRPr="00624191">
        <w:rPr>
          <w:rFonts w:eastAsia="Times New Roman"/>
          <w:bCs/>
          <w:szCs w:val="20"/>
        </w:rPr>
        <w:t>at the time the personal data is being</w:t>
      </w:r>
      <w:r w:rsidRPr="00624191">
        <w:rPr>
          <w:bCs/>
          <w:szCs w:val="20"/>
        </w:rPr>
        <w:t xml:space="preserve"> </w:t>
      </w:r>
      <w:r w:rsidRPr="00624191">
        <w:rPr>
          <w:rFonts w:eastAsia="Times New Roman"/>
          <w:bCs/>
          <w:szCs w:val="20"/>
        </w:rPr>
        <w:t>collected, be made aware of:</w:t>
      </w:r>
    </w:p>
    <w:p w:rsidR="00922C9B" w:rsidRPr="00624191" w:rsidRDefault="00922C9B" w:rsidP="00922C9B">
      <w:pPr>
        <w:pStyle w:val="ListParagraph"/>
        <w:numPr>
          <w:ilvl w:val="0"/>
          <w:numId w:val="27"/>
        </w:numPr>
        <w:spacing w:after="0"/>
        <w:ind w:left="993"/>
        <w:rPr>
          <w:rFonts w:eastAsia="Times New Roman"/>
          <w:szCs w:val="20"/>
        </w:rPr>
      </w:pPr>
      <w:r w:rsidRPr="00624191">
        <w:rPr>
          <w:rFonts w:eastAsia="Times New Roman"/>
          <w:szCs w:val="20"/>
        </w:rPr>
        <w:t xml:space="preserve">the name of the </w:t>
      </w:r>
      <w:r w:rsidRPr="00624191">
        <w:rPr>
          <w:szCs w:val="20"/>
        </w:rPr>
        <w:t>data controller (i.e. School</w:t>
      </w:r>
      <w:r>
        <w:rPr>
          <w:szCs w:val="20"/>
        </w:rPr>
        <w:t xml:space="preserve"> BoM)</w:t>
      </w:r>
    </w:p>
    <w:p w:rsidR="00922C9B" w:rsidRPr="00720846" w:rsidRDefault="00922C9B" w:rsidP="00922C9B">
      <w:pPr>
        <w:pStyle w:val="ListParagraph"/>
        <w:numPr>
          <w:ilvl w:val="0"/>
          <w:numId w:val="27"/>
        </w:numPr>
        <w:spacing w:after="0"/>
        <w:ind w:left="993"/>
        <w:rPr>
          <w:rFonts w:eastAsia="Times New Roman"/>
          <w:szCs w:val="20"/>
        </w:rPr>
      </w:pPr>
      <w:r w:rsidRPr="00624191">
        <w:rPr>
          <w:rFonts w:eastAsia="Times New Roman"/>
          <w:szCs w:val="20"/>
        </w:rPr>
        <w:t xml:space="preserve">the </w:t>
      </w:r>
      <w:r w:rsidRPr="00720846">
        <w:rPr>
          <w:rFonts w:eastAsia="Times New Roman"/>
          <w:szCs w:val="20"/>
        </w:rPr>
        <w:t>purpose</w:t>
      </w:r>
      <w:r w:rsidRPr="00720846">
        <w:rPr>
          <w:szCs w:val="20"/>
        </w:rPr>
        <w:t>/rationale for</w:t>
      </w:r>
      <w:r w:rsidRPr="00720846">
        <w:rPr>
          <w:rFonts w:eastAsia="Times New Roman"/>
          <w:szCs w:val="20"/>
        </w:rPr>
        <w:t xml:space="preserve"> collecting the data and any secondary uses of their personal data which might not be obvious to them</w:t>
      </w:r>
    </w:p>
    <w:p w:rsidR="00922C9B" w:rsidRPr="00720846" w:rsidRDefault="00922C9B" w:rsidP="00922C9B">
      <w:pPr>
        <w:pStyle w:val="ListParagraph"/>
        <w:numPr>
          <w:ilvl w:val="0"/>
          <w:numId w:val="27"/>
        </w:numPr>
        <w:spacing w:after="0"/>
        <w:ind w:left="993"/>
        <w:rPr>
          <w:szCs w:val="20"/>
        </w:rPr>
      </w:pPr>
      <w:r w:rsidRPr="00720846">
        <w:rPr>
          <w:rFonts w:eastAsia="Times New Roman"/>
          <w:szCs w:val="20"/>
        </w:rPr>
        <w:t>the persons or categories of persons to whom the data may be disclosed e.g.</w:t>
      </w:r>
    </w:p>
    <w:p w:rsidR="00922C9B" w:rsidRPr="00720846" w:rsidRDefault="00922C9B" w:rsidP="00922C9B">
      <w:pPr>
        <w:pStyle w:val="ListParagraph"/>
        <w:numPr>
          <w:ilvl w:val="1"/>
          <w:numId w:val="28"/>
        </w:numPr>
        <w:spacing w:after="0"/>
        <w:ind w:left="1418"/>
        <w:rPr>
          <w:szCs w:val="20"/>
        </w:rPr>
      </w:pPr>
      <w:r w:rsidRPr="00720846">
        <w:rPr>
          <w:szCs w:val="20"/>
        </w:rPr>
        <w:t>DES</w:t>
      </w:r>
    </w:p>
    <w:p w:rsidR="00922C9B" w:rsidRPr="00720846" w:rsidRDefault="00922C9B" w:rsidP="00922C9B">
      <w:pPr>
        <w:pStyle w:val="ListParagraph"/>
        <w:numPr>
          <w:ilvl w:val="1"/>
          <w:numId w:val="28"/>
        </w:numPr>
        <w:spacing w:after="0"/>
        <w:ind w:left="1418"/>
        <w:rPr>
          <w:szCs w:val="20"/>
        </w:rPr>
      </w:pPr>
      <w:r w:rsidRPr="00720846">
        <w:rPr>
          <w:rFonts w:eastAsia="Times New Roman"/>
          <w:szCs w:val="20"/>
        </w:rPr>
        <w:t>other third parties operating in the education and welfare sphere</w:t>
      </w:r>
      <w:r w:rsidRPr="00720846">
        <w:rPr>
          <w:szCs w:val="20"/>
        </w:rPr>
        <w:t xml:space="preserve"> e.g.</w:t>
      </w:r>
      <w:r w:rsidRPr="00720846">
        <w:rPr>
          <w:rFonts w:eastAsia="Times New Roman"/>
          <w:szCs w:val="20"/>
        </w:rPr>
        <w:t xml:space="preserve"> </w:t>
      </w:r>
      <w:r w:rsidRPr="00922C9B">
        <w:rPr>
          <w:szCs w:val="20"/>
        </w:rPr>
        <w:t>NCSE</w:t>
      </w:r>
      <w:r w:rsidRPr="00922C9B">
        <w:rPr>
          <w:rFonts w:eastAsia="Times New Roman"/>
          <w:szCs w:val="20"/>
        </w:rPr>
        <w:t>, TÚSLA,</w:t>
      </w:r>
      <w:r>
        <w:rPr>
          <w:rFonts w:eastAsia="Times New Roman"/>
          <w:szCs w:val="20"/>
        </w:rPr>
        <w:t xml:space="preserve"> </w:t>
      </w:r>
      <w:r w:rsidRPr="00720846">
        <w:rPr>
          <w:rFonts w:eastAsia="Times New Roman"/>
          <w:szCs w:val="20"/>
        </w:rPr>
        <w:t>NEPS, SESS, the HSE,</w:t>
      </w:r>
      <w:r w:rsidRPr="00720846">
        <w:rPr>
          <w:szCs w:val="20"/>
        </w:rPr>
        <w:t xml:space="preserve"> TUSLA, An Garda Síochána </w:t>
      </w:r>
    </w:p>
    <w:p w:rsidR="00922C9B" w:rsidRPr="00720846" w:rsidRDefault="00922C9B" w:rsidP="00922C9B">
      <w:pPr>
        <w:pStyle w:val="ListParagraph"/>
        <w:numPr>
          <w:ilvl w:val="1"/>
          <w:numId w:val="28"/>
        </w:numPr>
        <w:spacing w:after="0"/>
        <w:ind w:left="1418"/>
        <w:rPr>
          <w:rFonts w:eastAsia="Times New Roman"/>
          <w:szCs w:val="20"/>
        </w:rPr>
      </w:pPr>
      <w:r w:rsidRPr="00720846">
        <w:rPr>
          <w:rFonts w:eastAsia="Times New Roman"/>
          <w:szCs w:val="20"/>
        </w:rPr>
        <w:t>other third parties with whom the School contracts, such as cloud-based school administration software companies, accountants, insurance companies, lawyers, etc. </w:t>
      </w:r>
    </w:p>
    <w:p w:rsidR="00922C9B" w:rsidRPr="00720846" w:rsidRDefault="00922C9B" w:rsidP="00922C9B">
      <w:pPr>
        <w:pStyle w:val="ListParagraph"/>
        <w:numPr>
          <w:ilvl w:val="0"/>
          <w:numId w:val="27"/>
        </w:numPr>
        <w:spacing w:after="0"/>
        <w:ind w:left="993"/>
        <w:rPr>
          <w:rFonts w:eastAsia="Times New Roman"/>
          <w:szCs w:val="20"/>
        </w:rPr>
      </w:pPr>
      <w:r w:rsidRPr="00720846">
        <w:rPr>
          <w:rFonts w:eastAsia="Times New Roman"/>
          <w:szCs w:val="20"/>
        </w:rPr>
        <w:t xml:space="preserve">whether replies to questions asked are obligatory and the consequences of not providing replies to those questions </w:t>
      </w:r>
    </w:p>
    <w:p w:rsidR="00922C9B" w:rsidRPr="00720846" w:rsidRDefault="00922C9B" w:rsidP="00922C9B">
      <w:pPr>
        <w:pStyle w:val="ListParagraph"/>
        <w:numPr>
          <w:ilvl w:val="0"/>
          <w:numId w:val="27"/>
        </w:numPr>
        <w:spacing w:after="0"/>
        <w:ind w:left="993"/>
        <w:rPr>
          <w:rFonts w:eastAsia="Times New Roman"/>
          <w:szCs w:val="20"/>
        </w:rPr>
      </w:pPr>
      <w:r w:rsidRPr="00720846">
        <w:rPr>
          <w:rFonts w:eastAsia="Times New Roman"/>
          <w:szCs w:val="20"/>
        </w:rPr>
        <w:t xml:space="preserve">the existence of the right to access their personal data </w:t>
      </w:r>
      <w:r w:rsidRPr="00720846">
        <w:rPr>
          <w:szCs w:val="20"/>
        </w:rPr>
        <w:t xml:space="preserve"> </w:t>
      </w:r>
    </w:p>
    <w:p w:rsidR="00922C9B" w:rsidRPr="00720846" w:rsidRDefault="00922C9B" w:rsidP="00922C9B">
      <w:pPr>
        <w:pStyle w:val="ListParagraph"/>
        <w:numPr>
          <w:ilvl w:val="0"/>
          <w:numId w:val="27"/>
        </w:numPr>
        <w:spacing w:after="0"/>
        <w:ind w:left="993"/>
        <w:rPr>
          <w:szCs w:val="20"/>
        </w:rPr>
      </w:pPr>
      <w:r w:rsidRPr="00720846">
        <w:rPr>
          <w:rFonts w:eastAsia="Times New Roman"/>
          <w:szCs w:val="20"/>
        </w:rPr>
        <w:t>the right to rectify their data if inaccurate or processed unfairly</w:t>
      </w:r>
    </w:p>
    <w:p w:rsidR="00922C9B" w:rsidRPr="00720846" w:rsidRDefault="00922C9B" w:rsidP="00922C9B">
      <w:pPr>
        <w:pStyle w:val="ListParagraph"/>
        <w:numPr>
          <w:ilvl w:val="0"/>
          <w:numId w:val="27"/>
        </w:numPr>
        <w:spacing w:after="0"/>
        <w:ind w:left="993"/>
        <w:rPr>
          <w:rFonts w:eastAsia="Times New Roman"/>
          <w:szCs w:val="20"/>
        </w:rPr>
      </w:pPr>
      <w:r w:rsidRPr="00720846">
        <w:rPr>
          <w:rFonts w:eastAsia="Times New Roman"/>
          <w:szCs w:val="20"/>
        </w:rPr>
        <w:t>any other information which is relevant so that processing may be fair and to ensure that the data subject has all the information that is necessary to facilitate their awareness of how their data will be processed</w:t>
      </w:r>
    </w:p>
    <w:p w:rsidR="00922C9B" w:rsidRDefault="00922C9B" w:rsidP="001A35AE">
      <w:pPr>
        <w:rPr>
          <w:sz w:val="22"/>
        </w:rPr>
      </w:pPr>
    </w:p>
    <w:p w:rsidR="00922C9B" w:rsidRPr="001A35AE" w:rsidRDefault="00922C9B" w:rsidP="00922C9B">
      <w:r w:rsidRPr="001A35AE">
        <w:t>Where you use application forms or standard documentation in</w:t>
      </w:r>
      <w:r>
        <w:t xml:space="preserve"> </w:t>
      </w:r>
      <w:r w:rsidRPr="00F73563">
        <w:rPr>
          <w:color w:val="000000" w:themeColor="text1"/>
        </w:rPr>
        <w:t xml:space="preserve">school </w:t>
      </w:r>
      <w:r w:rsidRPr="001A35AE">
        <w:t>for enrolment or other purposes, you should explain your purposes/uses etc. clearly on such forms or documentation</w:t>
      </w:r>
    </w:p>
    <w:p w:rsidR="00922C9B" w:rsidRDefault="00922C9B" w:rsidP="001A35AE">
      <w:pPr>
        <w:rPr>
          <w:sz w:val="22"/>
        </w:rPr>
      </w:pPr>
    </w:p>
    <w:p w:rsidR="00922C9B" w:rsidRDefault="00922C9B" w:rsidP="00922C9B">
      <w:r w:rsidRPr="001A35AE">
        <w:t>No age limit is associated with consent. However, it is important that the data subject appreciates the nature and effect of such consent. Therefore, different ages might be set for different types of consent. Where a person is unlikely to be able to appreciate the nature or effect of consent, by reason of physical or mental incapacity or age, then a parent, grandparent, uncle, aunt, brother, sister or guardian may give consent on behalf of the data subject. These are the only circumstances in which a third party may give consent on behalf of a data subject</w:t>
      </w:r>
    </w:p>
    <w:p w:rsidR="00922C9B" w:rsidRDefault="00922C9B" w:rsidP="001A35AE">
      <w:pPr>
        <w:rPr>
          <w:sz w:val="22"/>
        </w:rPr>
      </w:pPr>
    </w:p>
    <w:p w:rsidR="001A35AE" w:rsidRDefault="001A35AE" w:rsidP="001A35AE"/>
    <w:p w:rsidR="001A35AE" w:rsidRPr="001C244B" w:rsidRDefault="001A35AE" w:rsidP="001A35AE">
      <w:pPr>
        <w:pStyle w:val="NoSpacing"/>
        <w:rPr>
          <w:color w:val="auto"/>
        </w:rPr>
      </w:pPr>
      <w:bookmarkStart w:id="0" w:name="_GoBack"/>
      <w:r w:rsidRPr="001C244B">
        <w:rPr>
          <w:color w:val="auto"/>
        </w:rPr>
        <w:t>Fair Obtaining: Test Yourself</w:t>
      </w:r>
    </w:p>
    <w:p w:rsidR="001A35AE" w:rsidRPr="001C244B" w:rsidRDefault="001A35AE" w:rsidP="001A35AE"/>
    <w:bookmarkEnd w:id="0"/>
    <w:p w:rsidR="001A35AE" w:rsidRPr="001A35AE" w:rsidRDefault="001A35AE" w:rsidP="00922C9B">
      <w:r w:rsidRPr="001A35AE">
        <w:t>When people are giving you information, you should be able to answer YES to the following questions:-</w:t>
      </w:r>
    </w:p>
    <w:p w:rsidR="001A35AE" w:rsidRPr="001A35AE" w:rsidRDefault="001A35AE" w:rsidP="00922C9B"/>
    <w:p w:rsidR="001A35AE" w:rsidRPr="001A35AE" w:rsidRDefault="001A35AE" w:rsidP="00922C9B">
      <w:pPr>
        <w:pStyle w:val="ListParagraph"/>
        <w:numPr>
          <w:ilvl w:val="0"/>
          <w:numId w:val="29"/>
        </w:numPr>
      </w:pPr>
      <w:r w:rsidRPr="001A35AE">
        <w:t>do they know what information you will keep about them?</w:t>
      </w:r>
    </w:p>
    <w:p w:rsidR="001A35AE" w:rsidRPr="001A35AE" w:rsidRDefault="001A35AE" w:rsidP="00922C9B">
      <w:pPr>
        <w:pStyle w:val="ListParagraph"/>
        <w:numPr>
          <w:ilvl w:val="0"/>
          <w:numId w:val="29"/>
        </w:numPr>
      </w:pPr>
      <w:r w:rsidRPr="001A35AE">
        <w:t>do they know the purpose for which you keep and use it?</w:t>
      </w:r>
    </w:p>
    <w:p w:rsidR="001A35AE" w:rsidRPr="001A35AE" w:rsidRDefault="001A35AE" w:rsidP="00922C9B">
      <w:pPr>
        <w:pStyle w:val="ListParagraph"/>
        <w:numPr>
          <w:ilvl w:val="0"/>
          <w:numId w:val="29"/>
        </w:numPr>
      </w:pPr>
      <w:r w:rsidRPr="001A35AE">
        <w:t>do they know the people or bodies to whom you disclose or pass it?</w:t>
      </w:r>
    </w:p>
    <w:p w:rsidR="001A35AE" w:rsidRPr="001A35AE" w:rsidRDefault="001A35AE" w:rsidP="00922C9B">
      <w:r w:rsidRPr="001A35AE">
        <w:t>In general, the fair obtaining principle requires that every individual about whom information is collected for holding wil</w:t>
      </w:r>
      <w:r>
        <w:t>l be aware of what is happening</w:t>
      </w:r>
    </w:p>
    <w:p w:rsidR="001A35AE" w:rsidRDefault="001A35AE" w:rsidP="001A35AE">
      <w:pPr>
        <w:rPr>
          <w:rFonts w:ascii="inherit" w:hAnsi="inherit"/>
          <w:sz w:val="29"/>
          <w:szCs w:val="29"/>
        </w:rPr>
      </w:pPr>
    </w:p>
    <w:sectPr w:rsidR="001A35AE" w:rsidSect="00026774">
      <w:footerReference w:type="default" r:id="rId7"/>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6B" w:rsidRDefault="00E2656B" w:rsidP="002007D4">
      <w:r>
        <w:separator/>
      </w:r>
    </w:p>
  </w:endnote>
  <w:endnote w:type="continuationSeparator" w:id="0">
    <w:p w:rsidR="00E2656B" w:rsidRDefault="00E2656B"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346" w:rsidRPr="00EA5346" w:rsidRDefault="00705C06" w:rsidP="00C8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i/>
        <w:color w:val="212121"/>
        <w:szCs w:val="20"/>
        <w:lang w:eastAsia="en-IE"/>
      </w:rPr>
    </w:pPr>
    <w:r>
      <w:rPr>
        <w:rFonts w:ascii="inherit" w:eastAsia="Times New Roman" w:hAnsi="inherit" w:cs="Courier New"/>
        <w:i/>
        <w:color w:val="212121"/>
        <w:szCs w:val="20"/>
        <w:lang w:val="ga-IE" w:eastAsia="en-IE"/>
      </w:rPr>
      <w:t xml:space="preserve">                                                                                                                                                     </w:t>
    </w:r>
    <w:r w:rsidR="001C244B">
      <w:rPr>
        <w:rFonts w:ascii="inherit" w:eastAsia="Times New Roman" w:hAnsi="inherit" w:cs="Courier New"/>
        <w:i/>
        <w:color w:val="212121"/>
        <w:szCs w:val="20"/>
        <w:lang w:val="ga-IE" w:eastAsia="en-IE"/>
      </w:rPr>
      <w:t xml:space="preserve">     </w:t>
    </w:r>
  </w:p>
  <w:p w:rsidR="002007D4" w:rsidRDefault="00200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6B" w:rsidRDefault="00E2656B" w:rsidP="002007D4">
      <w:r>
        <w:separator/>
      </w:r>
    </w:p>
  </w:footnote>
  <w:footnote w:type="continuationSeparator" w:id="0">
    <w:p w:rsidR="00E2656B" w:rsidRDefault="00E2656B" w:rsidP="00200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7460885"/>
    <w:multiLevelType w:val="multilevel"/>
    <w:tmpl w:val="F09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7074D8"/>
    <w:multiLevelType w:val="hybridMultilevel"/>
    <w:tmpl w:val="A9C8E434"/>
    <w:lvl w:ilvl="0" w:tplc="18090019">
      <w:start w:val="1"/>
      <w:numFmt w:val="lowerLetter"/>
      <w:lvlText w:val="%1."/>
      <w:lvlJc w:val="left"/>
      <w:pPr>
        <w:ind w:left="1146" w:hanging="360"/>
      </w:pPr>
    </w:lvl>
    <w:lvl w:ilvl="1" w:tplc="18090011">
      <w:start w:val="1"/>
      <w:numFmt w:val="decimal"/>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0" w15:restartNumberingAfterBreak="0">
    <w:nsid w:val="24D11A63"/>
    <w:multiLevelType w:val="hybridMultilevel"/>
    <w:tmpl w:val="067864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2"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8B082F"/>
    <w:multiLevelType w:val="hybridMultilevel"/>
    <w:tmpl w:val="438221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D73784"/>
    <w:multiLevelType w:val="multilevel"/>
    <w:tmpl w:val="F2A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81C5D"/>
    <w:multiLevelType w:val="hybridMultilevel"/>
    <w:tmpl w:val="7FD0C7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7" w15:restartNumberingAfterBreak="0">
    <w:nsid w:val="71661AA2"/>
    <w:multiLevelType w:val="hybridMultilevel"/>
    <w:tmpl w:val="F536BD40"/>
    <w:lvl w:ilvl="0" w:tplc="18090019">
      <w:start w:val="1"/>
      <w:numFmt w:val="lowerLetter"/>
      <w:lvlText w:val="%1."/>
      <w:lvlJc w:val="left"/>
      <w:pPr>
        <w:ind w:left="1146" w:hanging="360"/>
      </w:pPr>
    </w:lvl>
    <w:lvl w:ilvl="1" w:tplc="18090019">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8"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7"/>
  </w:num>
  <w:num w:numId="3">
    <w:abstractNumId w:val="11"/>
  </w:num>
  <w:num w:numId="4">
    <w:abstractNumId w:val="4"/>
  </w:num>
  <w:num w:numId="5">
    <w:abstractNumId w:val="26"/>
  </w:num>
  <w:num w:numId="6">
    <w:abstractNumId w:val="2"/>
  </w:num>
  <w:num w:numId="7">
    <w:abstractNumId w:val="15"/>
  </w:num>
  <w:num w:numId="8">
    <w:abstractNumId w:val="3"/>
  </w:num>
  <w:num w:numId="9">
    <w:abstractNumId w:val="1"/>
  </w:num>
  <w:num w:numId="10">
    <w:abstractNumId w:val="20"/>
  </w:num>
  <w:num w:numId="11">
    <w:abstractNumId w:val="22"/>
  </w:num>
  <w:num w:numId="12">
    <w:abstractNumId w:val="28"/>
  </w:num>
  <w:num w:numId="13">
    <w:abstractNumId w:val="19"/>
  </w:num>
  <w:num w:numId="14">
    <w:abstractNumId w:val="23"/>
  </w:num>
  <w:num w:numId="15">
    <w:abstractNumId w:val="16"/>
  </w:num>
  <w:num w:numId="16">
    <w:abstractNumId w:val="18"/>
  </w:num>
  <w:num w:numId="17">
    <w:abstractNumId w:val="21"/>
  </w:num>
  <w:num w:numId="18">
    <w:abstractNumId w:val="17"/>
  </w:num>
  <w:num w:numId="19">
    <w:abstractNumId w:val="8"/>
  </w:num>
  <w:num w:numId="20">
    <w:abstractNumId w:val="0"/>
  </w:num>
  <w:num w:numId="21">
    <w:abstractNumId w:val="12"/>
  </w:num>
  <w:num w:numId="22">
    <w:abstractNumId w:val="5"/>
  </w:num>
  <w:num w:numId="23">
    <w:abstractNumId w:val="24"/>
  </w:num>
  <w:num w:numId="24">
    <w:abstractNumId w:val="10"/>
  </w:num>
  <w:num w:numId="25">
    <w:abstractNumId w:val="6"/>
  </w:num>
  <w:num w:numId="26">
    <w:abstractNumId w:val="13"/>
  </w:num>
  <w:num w:numId="27">
    <w:abstractNumId w:val="27"/>
  </w:num>
  <w:num w:numId="28">
    <w:abstractNumId w:val="9"/>
  </w:num>
  <w:num w:numId="2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4"/>
    <w:rsid w:val="00022D3D"/>
    <w:rsid w:val="00026774"/>
    <w:rsid w:val="00053B8E"/>
    <w:rsid w:val="000743E2"/>
    <w:rsid w:val="00081360"/>
    <w:rsid w:val="000C5181"/>
    <w:rsid w:val="000C7665"/>
    <w:rsid w:val="000F7644"/>
    <w:rsid w:val="00120186"/>
    <w:rsid w:val="0013162A"/>
    <w:rsid w:val="001732BF"/>
    <w:rsid w:val="001A35AE"/>
    <w:rsid w:val="001B0DD1"/>
    <w:rsid w:val="001B6568"/>
    <w:rsid w:val="001C244B"/>
    <w:rsid w:val="001D595E"/>
    <w:rsid w:val="001F7870"/>
    <w:rsid w:val="001F7E17"/>
    <w:rsid w:val="002007D4"/>
    <w:rsid w:val="00237D81"/>
    <w:rsid w:val="00244078"/>
    <w:rsid w:val="00267892"/>
    <w:rsid w:val="0027365E"/>
    <w:rsid w:val="0029348D"/>
    <w:rsid w:val="002A37CD"/>
    <w:rsid w:val="002D0F2F"/>
    <w:rsid w:val="002F5A82"/>
    <w:rsid w:val="003025AB"/>
    <w:rsid w:val="00306436"/>
    <w:rsid w:val="0032399E"/>
    <w:rsid w:val="0034574A"/>
    <w:rsid w:val="0036155B"/>
    <w:rsid w:val="00385899"/>
    <w:rsid w:val="003B45C3"/>
    <w:rsid w:val="003B474D"/>
    <w:rsid w:val="003E04B4"/>
    <w:rsid w:val="003E3B3B"/>
    <w:rsid w:val="003E7F59"/>
    <w:rsid w:val="003F2537"/>
    <w:rsid w:val="003F4BCA"/>
    <w:rsid w:val="004044F0"/>
    <w:rsid w:val="00416744"/>
    <w:rsid w:val="00456305"/>
    <w:rsid w:val="00471360"/>
    <w:rsid w:val="00487C8F"/>
    <w:rsid w:val="004B66BF"/>
    <w:rsid w:val="004C759B"/>
    <w:rsid w:val="00503F61"/>
    <w:rsid w:val="0052583F"/>
    <w:rsid w:val="00551C07"/>
    <w:rsid w:val="0055459E"/>
    <w:rsid w:val="00564E48"/>
    <w:rsid w:val="005724B6"/>
    <w:rsid w:val="00592280"/>
    <w:rsid w:val="005A4D98"/>
    <w:rsid w:val="005B1972"/>
    <w:rsid w:val="005B40C6"/>
    <w:rsid w:val="005D2047"/>
    <w:rsid w:val="005D3B55"/>
    <w:rsid w:val="0062144C"/>
    <w:rsid w:val="00656110"/>
    <w:rsid w:val="006727CA"/>
    <w:rsid w:val="00675798"/>
    <w:rsid w:val="00690B68"/>
    <w:rsid w:val="006B4AED"/>
    <w:rsid w:val="006D739E"/>
    <w:rsid w:val="00705C06"/>
    <w:rsid w:val="00743EF7"/>
    <w:rsid w:val="007864F2"/>
    <w:rsid w:val="007B02E2"/>
    <w:rsid w:val="007C3B06"/>
    <w:rsid w:val="007C5682"/>
    <w:rsid w:val="007E1E0D"/>
    <w:rsid w:val="007F4C5E"/>
    <w:rsid w:val="007F5850"/>
    <w:rsid w:val="0080307B"/>
    <w:rsid w:val="00806BD6"/>
    <w:rsid w:val="008154D1"/>
    <w:rsid w:val="00827FBA"/>
    <w:rsid w:val="0084153F"/>
    <w:rsid w:val="0084580B"/>
    <w:rsid w:val="008461B1"/>
    <w:rsid w:val="00850AD5"/>
    <w:rsid w:val="00853991"/>
    <w:rsid w:val="00855459"/>
    <w:rsid w:val="0086041E"/>
    <w:rsid w:val="008A39B2"/>
    <w:rsid w:val="008B7CA5"/>
    <w:rsid w:val="008C061E"/>
    <w:rsid w:val="008C2413"/>
    <w:rsid w:val="008D01E5"/>
    <w:rsid w:val="008D728E"/>
    <w:rsid w:val="008E08DE"/>
    <w:rsid w:val="008E44E6"/>
    <w:rsid w:val="0091220E"/>
    <w:rsid w:val="00922C9B"/>
    <w:rsid w:val="0095259F"/>
    <w:rsid w:val="00963980"/>
    <w:rsid w:val="00966BF0"/>
    <w:rsid w:val="0099752C"/>
    <w:rsid w:val="00A2652E"/>
    <w:rsid w:val="00A5064B"/>
    <w:rsid w:val="00A513E8"/>
    <w:rsid w:val="00A54BDC"/>
    <w:rsid w:val="00A5543D"/>
    <w:rsid w:val="00A77AA2"/>
    <w:rsid w:val="00AA3B77"/>
    <w:rsid w:val="00AC5400"/>
    <w:rsid w:val="00AF650B"/>
    <w:rsid w:val="00B145E4"/>
    <w:rsid w:val="00B24B51"/>
    <w:rsid w:val="00B3603A"/>
    <w:rsid w:val="00B41C59"/>
    <w:rsid w:val="00B75F8A"/>
    <w:rsid w:val="00BC1169"/>
    <w:rsid w:val="00BD0900"/>
    <w:rsid w:val="00BF2F6C"/>
    <w:rsid w:val="00C1720F"/>
    <w:rsid w:val="00C24D41"/>
    <w:rsid w:val="00C55BFF"/>
    <w:rsid w:val="00C5707C"/>
    <w:rsid w:val="00C6112D"/>
    <w:rsid w:val="00C801A0"/>
    <w:rsid w:val="00C87948"/>
    <w:rsid w:val="00C92EA3"/>
    <w:rsid w:val="00CA00F2"/>
    <w:rsid w:val="00CD1370"/>
    <w:rsid w:val="00CF1FAB"/>
    <w:rsid w:val="00D12A0A"/>
    <w:rsid w:val="00D367BF"/>
    <w:rsid w:val="00D748DD"/>
    <w:rsid w:val="00D974DB"/>
    <w:rsid w:val="00DB1495"/>
    <w:rsid w:val="00DB5571"/>
    <w:rsid w:val="00DD074D"/>
    <w:rsid w:val="00DD42AC"/>
    <w:rsid w:val="00DD743F"/>
    <w:rsid w:val="00DE303B"/>
    <w:rsid w:val="00DF329D"/>
    <w:rsid w:val="00DF3B70"/>
    <w:rsid w:val="00E25389"/>
    <w:rsid w:val="00E2656B"/>
    <w:rsid w:val="00E34F51"/>
    <w:rsid w:val="00E83784"/>
    <w:rsid w:val="00EA5346"/>
    <w:rsid w:val="00EC5DBE"/>
    <w:rsid w:val="00F1355E"/>
    <w:rsid w:val="00F16F4E"/>
    <w:rsid w:val="00F46264"/>
    <w:rsid w:val="00F73563"/>
    <w:rsid w:val="00F818F4"/>
    <w:rsid w:val="00F84892"/>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9A2F0"/>
  <w15:docId w15:val="{A11358DC-9435-4C7C-9749-0A099887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nhideWhenUsed/>
    <w:rsid w:val="002007D4"/>
    <w:pPr>
      <w:tabs>
        <w:tab w:val="center" w:pos="4513"/>
        <w:tab w:val="right" w:pos="9026"/>
      </w:tabs>
    </w:pPr>
  </w:style>
  <w:style w:type="character" w:customStyle="1" w:styleId="FooterChar">
    <w:name w:val="Footer Char"/>
    <w:basedOn w:val="DefaultParagraphFont"/>
    <w:link w:val="Footer"/>
    <w:rsid w:val="002007D4"/>
  </w:style>
  <w:style w:type="paragraph" w:styleId="ListParagraph">
    <w:name w:val="List Paragraph"/>
    <w:basedOn w:val="Normal"/>
    <w:uiPriority w:val="34"/>
    <w:qFormat/>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iPriority w:val="99"/>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 w:id="2064406377">
      <w:bodyDiv w:val="1"/>
      <w:marLeft w:val="0"/>
      <w:marRight w:val="0"/>
      <w:marTop w:val="0"/>
      <w:marBottom w:val="0"/>
      <w:divBdr>
        <w:top w:val="none" w:sz="0" w:space="0" w:color="auto"/>
        <w:left w:val="none" w:sz="0" w:space="0" w:color="auto"/>
        <w:bottom w:val="none" w:sz="0" w:space="0" w:color="auto"/>
        <w:right w:val="none" w:sz="0" w:space="0" w:color="auto"/>
      </w:divBdr>
    </w:div>
    <w:div w:id="21470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Geashill</cp:lastModifiedBy>
  <cp:revision>3</cp:revision>
  <cp:lastPrinted>2018-02-15T11:51:00Z</cp:lastPrinted>
  <dcterms:created xsi:type="dcterms:W3CDTF">2018-05-14T11:20:00Z</dcterms:created>
  <dcterms:modified xsi:type="dcterms:W3CDTF">2018-12-10T08:21:00Z</dcterms:modified>
</cp:coreProperties>
</file>